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34"/>
          <w:szCs w:val="34"/>
        </w:rPr>
        <w:t>誓　　約　　書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ind w:firstLineChars="100" w:firstLine="22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石　橋　商　工　会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ind w:firstLineChars="100" w:firstLine="22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会長　髙　山　忠　則　様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平成２８年　　　月　　　日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  1.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住　　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〒　　　－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2.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事業所名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3.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氏　　名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印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4.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生年月日（大正・昭和・平成）　　　年　　月　　日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5.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電話番号（　　　　　）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-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私は、「石橋商工会賑わい祭」の趣旨に賛同し、次の事項を遵守し、健全な営業に努めることを誓約します。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bookmarkStart w:id="0" w:name="_GoBack"/>
      <w:bookmarkEnd w:id="0"/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(1)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出展者又は従事者は、官報で公示された指定暴力団の構成員及び密接関係者でないこと。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(2)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市民及び業者間で紛争等を起こさないこと。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(3)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市民に不安感又は嫌悪感を与えるような服装、言語及び態度をとらないこと。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(4)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法令に違反するものを販売しないこと。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(5)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営業時間を厳守すること。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(6)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出展名義のまた貸し等しないこと。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(7)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営業を終わった後は、清掃等を行い、原状回復を確実に行うこと。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(8)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出品物に関するトラブル等について、石橋商工会は責任を負わないこと。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９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その他石橋商工会の指示に従うこと。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B17D98" w:rsidRPr="00C47B02" w:rsidRDefault="00C47B02">
      <w:pPr>
        <w:rPr>
          <w:sz w:val="22"/>
        </w:rPr>
      </w:pPr>
    </w:p>
    <w:sectPr w:rsidR="00B17D98" w:rsidRPr="00C47B02" w:rsidSect="00C47B02">
      <w:headerReference w:type="default" r:id="rId5"/>
      <w:footerReference w:type="default" r:id="rId6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2F" w:rsidRDefault="00C47B02">
    <w:pPr>
      <w:autoSpaceDE w:val="0"/>
      <w:autoSpaceDN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2F" w:rsidRDefault="00C47B02">
    <w:pPr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2"/>
    <w:rsid w:val="00554E8D"/>
    <w:rsid w:val="00C47B02"/>
    <w:rsid w:val="00D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石橋商工会</dc:creator>
  <cp:lastModifiedBy>石橋商工会</cp:lastModifiedBy>
  <cp:revision>1</cp:revision>
  <dcterms:created xsi:type="dcterms:W3CDTF">2016-08-10T02:10:00Z</dcterms:created>
  <dcterms:modified xsi:type="dcterms:W3CDTF">2016-08-10T02:13:00Z</dcterms:modified>
</cp:coreProperties>
</file>